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如东县掘港镇人民南路89号同业苑夜排档16个铺位招租</w:t>
      </w:r>
    </w:p>
    <w:p>
      <w:pPr>
        <w:jc w:val="center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补充通知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本项目</w:t>
      </w:r>
      <w:r>
        <w:rPr>
          <w:rFonts w:hint="eastAsia"/>
          <w:sz w:val="24"/>
          <w:szCs w:val="24"/>
        </w:rPr>
        <w:t>代理服务费</w:t>
      </w:r>
      <w:r>
        <w:rPr>
          <w:rFonts w:hint="eastAsia"/>
          <w:sz w:val="24"/>
          <w:szCs w:val="24"/>
          <w:lang w:eastAsia="zh-CN"/>
        </w:rPr>
        <w:t>由中标单位</w:t>
      </w:r>
      <w:r>
        <w:rPr>
          <w:rFonts w:hint="eastAsia"/>
          <w:sz w:val="24"/>
          <w:szCs w:val="24"/>
        </w:rPr>
        <w:t>的支付</w:t>
      </w:r>
      <w:r>
        <w:rPr>
          <w:rFonts w:hint="eastAsia"/>
          <w:sz w:val="24"/>
          <w:szCs w:val="24"/>
          <w:lang w:eastAsia="zh-CN"/>
        </w:rPr>
        <w:t>，具体支付比例如下所示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①每个铺位的招标代理费按差额定率累进法进行计算，本项目招标代理费=中标价*国家收费标准的50%计收；若按收费标准的代理服务费低于200元的，按200元/铺位支付代理服务费。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注：国家收费标注如下表所示：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中标金额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00万元以下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1.5%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  <w:lang w:eastAsia="zh-CN"/>
        </w:rPr>
        <w:t>此费用由投标人综合考虑，各铺位的中标</w:t>
      </w:r>
      <w:r>
        <w:rPr>
          <w:rFonts w:hint="eastAsia"/>
          <w:sz w:val="24"/>
          <w:szCs w:val="24"/>
        </w:rPr>
        <w:t>单位在开标结束后向代理单位缴纳代理服务费。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2020年5月14日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1906"/>
    <w:rsid w:val="681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2020-05-14T05:28:00Z</dcterms:created>
  <dc:creator>Administrator</dc:creator>
  <cp:lastModifiedBy>Administrator</cp:lastModifiedBy>
  <dcterms:modified xsi:type="dcterms:W3CDTF">2020-05-14T05:31:52Z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